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56" w:rsidRDefault="008D5C56">
      <w:r>
        <w:t xml:space="preserve">Study Guide </w:t>
      </w:r>
      <w:bookmarkStart w:id="0" w:name="_GoBack"/>
      <w:bookmarkEnd w:id="0"/>
    </w:p>
    <w:p w:rsidR="008D5C56" w:rsidRDefault="008D5C56">
      <w:r>
        <w:t>Sport Management Exam #3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First Intercollegiate Athletic Coach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History of the NCAA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History of Women’s Participation in College Athletics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Philosophical Differences between Divisions I, II, and III in the NCAA system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Relationship between war and physical education interest and funding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Use of independent contractors in youth and high school sports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Corporate Sponsorship and Sports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Collective Bargaining and Sports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Professional Franchise Value Assessment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NFL exceptions to ownership rules</w:t>
      </w:r>
    </w:p>
    <w:p w:rsidR="008D5C56" w:rsidRDefault="008D5C56" w:rsidP="008D5C56">
      <w:pPr>
        <w:pStyle w:val="ListParagraph"/>
        <w:numPr>
          <w:ilvl w:val="0"/>
          <w:numId w:val="1"/>
        </w:numPr>
      </w:pPr>
      <w:r>
        <w:t>First Commissioner</w:t>
      </w:r>
    </w:p>
    <w:sectPr w:rsidR="008D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598F"/>
    <w:multiLevelType w:val="hybridMultilevel"/>
    <w:tmpl w:val="0762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56"/>
    <w:rsid w:val="008D5C56"/>
    <w:rsid w:val="00E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450E-B38E-4902-9654-B6C443D0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tmad103</dc:creator>
  <cp:keywords/>
  <dc:description/>
  <cp:lastModifiedBy>tmad103</cp:lastModifiedBy>
  <cp:revision>1</cp:revision>
  <dcterms:created xsi:type="dcterms:W3CDTF">2014-11-26T15:20:00Z</dcterms:created>
  <dcterms:modified xsi:type="dcterms:W3CDTF">2014-11-26T15:25:00Z</dcterms:modified>
</cp:coreProperties>
</file>